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8D8C">
      <w:pPr>
        <w:pStyle w:val="41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32BC22D4">
      <w:pPr>
        <w:pStyle w:val="41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обязательного медицинского</w:t>
      </w:r>
    </w:p>
    <w:p w14:paraId="7690F93A">
      <w:pPr>
        <w:pStyle w:val="41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страхования, утвержденным приказом</w:t>
      </w:r>
    </w:p>
    <w:p w14:paraId="32B61A96">
      <w:pPr>
        <w:pStyle w:val="41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0F26B15B">
      <w:pPr>
        <w:pStyle w:val="41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A6EA0C3">
      <w:pPr>
        <w:pStyle w:val="41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202___ г. № _____</w:t>
      </w:r>
    </w:p>
    <w:p w14:paraId="611A353A">
      <w:pPr>
        <w:pStyle w:val="41"/>
        <w:jc w:val="both"/>
        <w:rPr>
          <w:rFonts w:ascii="Times New Roman" w:hAnsi="Times New Roman" w:cs="Times New Roman"/>
          <w:sz w:val="28"/>
          <w:szCs w:val="28"/>
        </w:rPr>
      </w:pPr>
    </w:p>
    <w:p w14:paraId="10D4CFE5">
      <w:pPr>
        <w:pStyle w:val="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20"/>
      <w:bookmarkEnd w:id="0"/>
      <w:r>
        <w:rPr>
          <w:rFonts w:ascii="Times New Roman" w:hAnsi="Times New Roman" w:cs="Times New Roman"/>
          <w:sz w:val="28"/>
          <w:szCs w:val="28"/>
        </w:rPr>
        <w:t xml:space="preserve">Положение о деятельности комиссии по разработке территориальной программы обязательного медицинского страхования </w:t>
      </w:r>
    </w:p>
    <w:p w14:paraId="4F384B4C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AD8AE9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Комиссия по разработке территориальной программы обязательного медицинского страхования (далее - Комиссия) создается в субъекте Российской Федерации в соответствии с законодательством Российской Федерации в сфере обязательного медицинского страхования.</w:t>
      </w:r>
    </w:p>
    <w:p w14:paraId="45B6E07D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Федерации, а также настоящими Правилами.</w:t>
      </w:r>
    </w:p>
    <w:p w14:paraId="13CEFF1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на паритетных началах входят представители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 обязательного медицинского страхования (далее – территориальный фонд), страховых медицинских организаций и медицинских организаций, представители медицинских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Федерации.</w:t>
      </w:r>
    </w:p>
    <w:p w14:paraId="071BF8FC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рамках деятельности Комиссия выполняет следующие функции:</w:t>
      </w:r>
    </w:p>
    <w:p w14:paraId="572B8BCD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разрабатывает проект территориальной программы обязательного медицинского страхования субъекта Российской Федерации (далее – территориальная программа);</w:t>
      </w:r>
    </w:p>
    <w:p w14:paraId="0B81506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решение по принятым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организаций, участвующих в реализации территориальной программы субъекта российской Федерации (далее – реестр медицинских организаций), на основании критериев включения медицинской организации частной системы здравоохранения в реестр медицинских организаций медицинской организации частной системы здравоохранения, либо об отказе во включении по основаниям для отказа во включении такой медицинской организации в реестр медицинских организаций, установленных Правительством Российской Федерации.</w:t>
      </w:r>
    </w:p>
    <w:p w14:paraId="3C9F106A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разрабатывает и устанавливает показатели эффективности деятельности медицинских организаций, позволяющие провести оценку возможности реализации заявленных медицинской организацией объемов медицинской помощи;</w:t>
      </w:r>
    </w:p>
    <w:p w14:paraId="3D457D49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организациями, включенными в реестр медицинских организаций, в пределах и на основе установленных территориальной программой объемов предоставления медицинской помощи, до 1 января года, на который осуществляется распределение объемов медицинской помощи, с учетом результатов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</w:t>
      </w:r>
      <w:r>
        <w:rPr>
          <w:rStyle w:val="13"/>
          <w:rFonts w:ascii="Times New Roman" w:hAnsi="Times New Roman" w:cs="Times New Roman"/>
          <w:sz w:val="28"/>
          <w:szCs w:val="28"/>
        </w:rPr>
        <w:footnoteReference w:id="0"/>
      </w:r>
      <w:r>
        <w:rPr>
          <w:rFonts w:ascii="Times New Roman" w:hAnsi="Times New Roman" w:cs="Times New Roman"/>
          <w:sz w:val="28"/>
          <w:szCs w:val="28"/>
        </w:rPr>
        <w:t xml:space="preserve"> (далее - контроль объемов, сроков, качества и условий предоставления медицинской помощи) в динамике до трех лет (за исключением медицинских организаций, впервые включенных в реестр медицинских организаций в году, на который формируется территориальная программа);</w:t>
      </w:r>
    </w:p>
    <w:p w14:paraId="3D6D2248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5) рассматривает предложения медицинских организаций о </w:t>
      </w:r>
      <w:r>
        <w:rPr>
          <w:rFonts w:ascii="Times New Roman" w:hAnsi="Times New Roman" w:cs="Times New Roman"/>
          <w:sz w:val="28"/>
          <w:szCs w:val="28"/>
        </w:rPr>
        <w:t>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помощи, распределенных медицинской организации решением Комиссии;</w:t>
      </w:r>
    </w:p>
    <w:p w14:paraId="2DE43E00">
      <w:pPr>
        <w:pStyle w:val="21"/>
        <w:spacing w:before="0" w:beforeAutospacing="0" w:after="0" w:afterAutospacing="0"/>
        <w:ind w:firstLine="540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6) не реже одного раза в квартал осуществляет оценку исполнения медицинскими организациями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реализации территориальной программы;</w:t>
      </w:r>
    </w:p>
    <w:p w14:paraId="282B4FBB">
      <w:pPr>
        <w:pStyle w:val="2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7</w:t>
      </w:r>
      <w:r>
        <w:rPr>
          <w:rFonts w:eastAsiaTheme="minorEastAsia"/>
          <w:kern w:val="24"/>
          <w:sz w:val="28"/>
          <w:szCs w:val="28"/>
        </w:rPr>
        <w:t>)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14:paraId="047A1C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устанавливает тарифы на оказание медицинской помощи и формирует тарифное соглашение в соответствии с требованиями к структуре и содержанию тарифного соглашения, установленных </w:t>
      </w:r>
      <w:bookmarkStart w:id="1" w:name="_Hlk192683773"/>
      <w:r>
        <w:rPr>
          <w:rFonts w:ascii="Times New Roman CYR" w:hAnsi="Times New Roman CYR" w:cs="Times New Roman CYR" w:eastAsiaTheme="minorEastAsia"/>
          <w:sz w:val="28"/>
          <w:szCs w:val="28"/>
          <w:lang w:eastAsia="ru-RU"/>
        </w:rPr>
        <w:t>уполномоченным федеральным органом исполнительной власти</w:t>
      </w:r>
      <w:r>
        <w:rPr>
          <w:rStyle w:val="13"/>
          <w:rFonts w:ascii="Times New Roman CYR" w:hAnsi="Times New Roman CYR" w:cs="Times New Roman CYR" w:eastAsiaTheme="minorEastAsia"/>
          <w:sz w:val="28"/>
          <w:szCs w:val="28"/>
          <w:lang w:eastAsia="ru-RU"/>
        </w:rPr>
        <w:footnoteReference w:id="1"/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>;</w:t>
      </w:r>
      <w:bookmarkEnd w:id="1"/>
    </w:p>
    <w:p w14:paraId="5BB478C7">
      <w:pPr>
        <w:pStyle w:val="4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устанавливает для вновь создаваемых медицинских организаций иные сроки подачи медицинскими организациями государственной системы здравоохранения или муниципальной системы здравоохранения уведомления об осуществлении деятельности в сфере обязательного медицинского страхования;</w:t>
      </w:r>
    </w:p>
    <w:p w14:paraId="6A2AC9CC">
      <w:pPr>
        <w:pStyle w:val="4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устанавливает для вновь создаваемых медицинских организаций частной системы здравоохранения заявления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включении в реестр медицинских организаций, </w:t>
      </w:r>
      <w:r>
        <w:rPr>
          <w:rFonts w:ascii="Times New Roman" w:hAnsi="Times New Roman" w:cs="Times New Roman" w:eastAsiaTheme="minorHAnsi"/>
          <w:sz w:val="28"/>
          <w:szCs w:val="28"/>
        </w:rPr>
        <w:t>осуществляющих деятельность в сфере обязательного медицинского страхования по территориальной программе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5CA642">
      <w:pPr>
        <w:pStyle w:val="4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определяет порядок представления информации членами Комиссии;</w:t>
      </w:r>
    </w:p>
    <w:p w14:paraId="358A4B7A">
      <w:pPr>
        <w:pStyle w:val="4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выполняет иные функции в рамках действующего законодательства в сфере обязательного медицинского страхования.</w:t>
      </w:r>
    </w:p>
    <w:p w14:paraId="157E515A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целях разработки проекта территориальной программы Комиссия на заседаниях:</w:t>
      </w:r>
    </w:p>
    <w:p w14:paraId="2A03AEDB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рассматривает информацию:</w:t>
      </w:r>
    </w:p>
    <w:p w14:paraId="6A57D422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субъекта Российской Федерации в сфере охраны здоровья по объемам медицинской помощи, требуемым для предоставления застрахованным лицам на предстоящий год;</w:t>
      </w:r>
    </w:p>
    <w:p w14:paraId="2C4D669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лиц, реестра страховых медицинских организаций,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здравоохранения, включенных на основании уведомления об осуществлении деятельности в сфере обязательного медицинского страхования,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организаций;</w:t>
      </w:r>
    </w:p>
    <w:p w14:paraId="20A79D5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рассматривает предложения исполнительного органа государственной власти субъекта Российской Федерации в сфере охраны здоровья, территориального фонда, страховых медицинских организаций и медицинских организаций по:</w:t>
      </w:r>
    </w:p>
    <w:p w14:paraId="594ADEB4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видам медицинской помощи, перечню заболеваний, порядку и условиям предоставления медицинской помощи, включая сроки ожидания медицинской помощи, значениям нормативов объемов предоставления медицинской помощи в  на одно застрахованное лицо с учетом объемов медицинской помощи, оказываемых застрахованным лицам медицинскими организациями в других субъектах Российской Федерации, нормативам финансовых затрат на единицу объема предоставления медицинской помощи в расчете на одно застрахованное лицо, нормативам финансового обеспечения территориальной программы в расчете на одно застрахованное лицо, способам оплаты медицинской помощи и тарифам в соответствии с требованиями, установленными базовой программой и в дополнение к базовой программе;</w:t>
      </w:r>
    </w:p>
    <w:p w14:paraId="284E74A9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целевым значениям критериев доступности и качества медицинской помощи;</w:t>
      </w:r>
    </w:p>
    <w:p w14:paraId="64DE45F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случаям, установленным базовой программой;</w:t>
      </w:r>
    </w:p>
    <w:p w14:paraId="3E300FD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участию медицинских организаций в реализации территориальной программы в части заявленных объемов оказания медицинской помощи, с учетом показателей эффективности деятельности медицинских организаций;</w:t>
      </w:r>
    </w:p>
    <w:p w14:paraId="54DD9562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помощи, установленных территориальной программой и базовой программой;</w:t>
      </w:r>
    </w:p>
    <w:p w14:paraId="53B8B35B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разработке проекта территориальной программы Комиссией учитываются порядки оказания медицинской помощи, клинические рекомендации, стандарты медицинской помощи, особенности половозрастного состава застрахованных лиц, уровень и структура заболеваемости населения субъекта Российской Федерации по данным медицинской статистики, климатические, географические особенности субъекта Российской Федерации, транспортная доступность медицинских организаций, сбалансированность объема медицинской помощи и ее финансового обеспечения.</w:t>
      </w:r>
    </w:p>
    <w:p w14:paraId="6FC59355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Подготовленный проект территориальной программы Комиссия до____ число месяц год) представляет исполнительному органу государственной власти субъекта Российской Федерации в сфере охраны здоровья и территориальному фонду.</w:t>
      </w:r>
    </w:p>
    <w:p w14:paraId="09B20597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Распределение и перераспределение объемов медицинской помощи Комиссия осуществляет:</w:t>
      </w:r>
    </w:p>
    <w:p w14:paraId="0D8D1FF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видам и условиям предоставления медицинской помощи, а также применяемым способам оплаты медицинской помощи;</w:t>
      </w:r>
    </w:p>
    <w:p w14:paraId="7A0F08DC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разрезе профилей медицинской помощи, и при решении Комиссии в разрезе заболеваний и состояний (групп заболеваний и состояний), групп и видов высокотехнологичной медицинской помощи;</w:t>
      </w:r>
    </w:p>
    <w:p w14:paraId="2DD3D57C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разрезе медицинской помощи (групп медицинской помощи) в случае установления в тарифном соглашении по отдельным видам медицинской помощи (группам медицинской помощи) возможности использования только способа оплаты медицинской помощи «за единицу объема медицинской помощи»;</w:t>
      </w:r>
    </w:p>
    <w:p w14:paraId="32B1CFBD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 учетом показателей потребления медицинской помощи по данным персонифицированного учета сведений о медицинской помощи, оказанной застрахованным лицам, количества прикрепленных застрахованных лиц к медицинским организациям, оказывающим медицинскую помощь в амбулаторных условиях, численности и половозрастной структуры застрахованных лиц, а также с учетом результатов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 обязательного медицинского страхования).</w:t>
      </w:r>
    </w:p>
    <w:p w14:paraId="6A7B4965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Распределение и перераспределение объемов финансового обеспечения медицинской помощи осуществляется:</w:t>
      </w:r>
    </w:p>
    <w:p w14:paraId="16BB8953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видам и условиям предоставления медицинской помощи, а также применяемым способам оплаты медицинской помощи;</w:t>
      </w:r>
    </w:p>
    <w:p w14:paraId="339002A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разрезе профилей медицинской помощи, и в случае распределения объемов предоставления медицинской помощи в разрезе заболеваний и состояний (групп заболеваний и состояний), групп и видов высокотехнологичной медицинской помощи - в разрезе заболеваний и состояний (групп заболеваний и состояний), групп и видов высокотехнологичной медицинской помощи;</w:t>
      </w:r>
    </w:p>
    <w:p w14:paraId="36C1AD49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разрезе медицинской помощи (групп медицинской помощи) в случае установления в тарифном соглашении по отдельным видам медицинской помощи (группам медицинской помощи) возможности использования только способа оплаты медицинской помощи "за единицу объема медицинской помощи";</w:t>
      </w:r>
    </w:p>
    <w:p w14:paraId="3F219858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 учетом распределения (перераспределения) объемов предоставления медицинской помощи между медицинскими организациями, в том числе исходя из результатов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 обязательного медицинского страхования), способов оплаты медицинской помощи и тарифов на оплату медицинской помощи, установленных и применяемых для оплаты медицинской помощи, оказанной медицинской организацией, в соответствии с тарифным соглашением.</w:t>
      </w:r>
    </w:p>
    <w:p w14:paraId="06DE451C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распределении и перераспределении объемов медицинской помощи учитываются:</w:t>
      </w:r>
    </w:p>
    <w:p w14:paraId="180DEE2F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порядок организации медицинской помощи в субъекте Российской Федерации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климатических и географических особенностей региона, а также сроков ожидания оказания медицинской помощи;</w:t>
      </w:r>
    </w:p>
    <w:p w14:paraId="2056B1D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медицинских организаций,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страхования, а также в принятых к рассмотрению территориальным фондом заявлениях о включении в реестр медицинских организаций частной системы здравоохранения;</w:t>
      </w:r>
    </w:p>
    <w:p w14:paraId="1EA9059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соответствие заявленных медицинскими организациями объемов медицинской помощи перечню работ и услуг, включенных в лицензию на осуществление медицинской деятельности;</w:t>
      </w:r>
    </w:p>
    <w:p w14:paraId="72DFCE35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соответствие объемов медицинской помощи,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страхования, а также в принятых к рассмотрению территориальным фондом заявлениях о включении в реестр медицинских организаций частной системы здравоохранения, мощности коечного фонда, наличию соответствующего медицинского оборудования, медицинских работников соответствующих специальностей и других;</w:t>
      </w:r>
    </w:p>
    <w:p w14:paraId="2CB86587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соответствие деятельности медицинских организаций требованиям порядков оказания медицинской помощи;</w:t>
      </w:r>
    </w:p>
    <w:p w14:paraId="391BAC42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результаты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программа).</w:t>
      </w:r>
    </w:p>
    <w:p w14:paraId="75AC2D00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объемов медицинской помощи, установленных территориальной программой,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Федерации, оказываемой за его пределами.</w:t>
      </w:r>
    </w:p>
    <w:p w14:paraId="69474EB6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объемов медицинской помощи медицинской организации осуществляется Комиссией в объемах, не превышающих предложения медицинской организации,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подпунктом 18 пункта 105 настоящих Правил,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помощи, оказанной застрахованным лицам за пределами субъекта Российской Федерации.</w:t>
      </w:r>
    </w:p>
    <w:p w14:paraId="6FA383B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целях распределения объемов между медицинскими организациями в рамках территориальной программы до 1 января года, на который осуществляется распределение, секретарю Комиссии не позднее трех рабочих дней после утверждения территориальной программы представляются следующая информация и предложения:</w:t>
      </w:r>
    </w:p>
    <w:p w14:paraId="6F01F1E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территориальным фондом:</w:t>
      </w:r>
    </w:p>
    <w:p w14:paraId="38A92745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года;</w:t>
      </w:r>
    </w:p>
    <w:p w14:paraId="4C545683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финансовых затрат на единицу объемов медицинской помощи, оказываемых в рамках территориальной программы,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(далее - плановый год);</w:t>
      </w:r>
    </w:p>
    <w:p w14:paraId="5A87AE43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медицинских организаций, включенных в реестр медицинских организаций на плановый год;</w:t>
      </w:r>
    </w:p>
    <w:p w14:paraId="223535E8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медицинскими организациями:</w:t>
      </w:r>
    </w:p>
    <w:p w14:paraId="6E61B888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в разрезе профилей (отделений) и врачей-специалистов (штатные, занятые должности и физические лица) по состоянию на 1 сентября текущего года;</w:t>
      </w:r>
    </w:p>
    <w:p w14:paraId="35F11C8A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прикрепившихся застрахованных лиц, выбравших медицинскую организацию для оказания первичной медико-санитарной помощи в амбулаторных условиях в разрезе половозрастных групп и их списочный состав (в электронном виде);</w:t>
      </w:r>
    </w:p>
    <w:p w14:paraId="7DE09998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профилей, врачей-специалистов, КСГ по детскому и взрослому населению, количеству диагностических и (или) консультативных услуг, а также объемы их финансирования (за исключением медицинских организаций, вновь включенных в реестр медицинских организаций);</w:t>
      </w:r>
    </w:p>
    <w:p w14:paraId="2C7156A7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планируемых к выполнению объемах медицинской помощи на плановый год по видам и условиям оказания медицинской помощи, диагностических услуг, в разрезе профилей, врачей-специалистов, КСГ по детскому и взрослому населению;</w:t>
      </w:r>
    </w:p>
    <w:p w14:paraId="13161704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исполнительным органом государственной власти субъекта Российской Федерации в сфере охраны здоровья -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помощи, клиническими рекомендациями и с учетом стандартов медицинской помощи, сроков ожидания медицинской помощи по территориальной программе и объективных критериев (среднего радиуса территории обслуживания скорой медицинской помощи, количества фельдшерско-акушерских пунктов, расходов на содержание имущества на единицу объема медицинской помощи и других).</w:t>
      </w:r>
    </w:p>
    <w:p w14:paraId="517DBFD5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рассмотрения.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Комиссии.</w:t>
      </w:r>
    </w:p>
    <w:p w14:paraId="60351DE0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Распределение объемов медицинской помощи между медицинскими организациями осуществляется Комиссией по следующим критериям:</w:t>
      </w:r>
    </w:p>
    <w:p w14:paraId="70C80FDC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количество прикрепленных застрахованных лиц к медицинским организациям, оказывающим медицинскую помощь в амбулаторных условиях, и показателей объемов предоставления медицинской помощи на одно застрахованное лицо в год, утвержденных территориальной программой, с учетом показателей потребления медицинской помощи, видов медицинской помощи, условий предоставления медицинской помощи и врачебных специальностей;</w:t>
      </w:r>
    </w:p>
    <w:p w14:paraId="461563E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показатели объемов предоставления медицинской помощи на одно застрахованное лицо в год, утвержденных территориальной программой, с учетом профилей отделений (коек), врачебных специальностей, видов медицинской помощи и условий ее предоставления медицинскими организациями, не имеющими прикрепленных застрахованных лиц;</w:t>
      </w:r>
    </w:p>
    <w:p w14:paraId="3DA788CA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количество диагностических и (или)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(или) консультативных услуг;</w:t>
      </w:r>
    </w:p>
    <w:p w14:paraId="5F37735D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соотношение оказанных объемов предоставления медицинской помощи и оплаченных страховыми медицинскими организациями каждой медицинской организации;</w:t>
      </w:r>
    </w:p>
    <w:p w14:paraId="6D51A9A6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необходимость и возможность внедрения новых медицинских услуг или технологий;</w:t>
      </w:r>
    </w:p>
    <w:p w14:paraId="70E63099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наличие ресурсного, в том числе кадрового, обеспечения планируемых объемов предоставления медицинской помощи;</w:t>
      </w:r>
    </w:p>
    <w:p w14:paraId="2918764F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достаточность мощности медицинской организации для выполнения объемов медицинской помощи,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страхования, а также в принятых к рассмотрению территориальным фондом заявлениях о включении в реестр медицинских организаций частной системы здравоохранения</w:t>
      </w:r>
    </w:p>
    <w:p w14:paraId="3332B286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результаты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программа).</w:t>
      </w:r>
    </w:p>
    <w:p w14:paraId="3AF79E70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распределении объемов медицинской помощи между медицинскими организациями критерии рассматриваются Комиссией комплексно.</w:t>
      </w:r>
    </w:p>
    <w:p w14:paraId="48860DC5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Для рассмотрения отдельных вопросов и подготовки необходимых предложений, оперативного перераспределения объемов предоставления и финансового обеспечения медицинской помощи, распределенных между медицинскими организациями, при Комиссии могут создаваться рабочие группы, к работе которой кроме членов Комиссии могут привлекаться специалисты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медицинских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Федерации.</w:t>
      </w:r>
    </w:p>
    <w:p w14:paraId="59CB2BA9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Для разработки проекта тарифного соглашения создается рабочая группа по тарифам на оплату медицинской помощи.</w:t>
      </w:r>
    </w:p>
    <w:p w14:paraId="6256DE37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15 декабря текущего года страховыми медицинскими организациями, медицинскими организациями,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отчетности, необходимые для расчета тарифов на оплату медицинской помощи, и предложения по способам оплаты медицинской помощи и структуре тарифов на оплату медицинской помощи, установленные территориальной программой в соответствии с базовой программой, утверждаемой в составе программы государственных гарантий бесплатного оказания гражданам медицинской помощи.</w:t>
      </w:r>
    </w:p>
    <w:p w14:paraId="3997CC6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представленных данных рабочая группа:</w:t>
      </w:r>
    </w:p>
    <w:p w14:paraId="0F8A79BF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Методикой, требованиями к структуре и содержанию тарифного соглашения, установленных Федеральным фондом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статьи 30 Федерального закона;</w:t>
      </w:r>
    </w:p>
    <w:p w14:paraId="4E6D496F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срок до 20 декабря текущего года готовит проект тарифного соглашения;</w:t>
      </w:r>
    </w:p>
    <w:p w14:paraId="51A7183E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срок до 25 декабря текущего года направляет для рассмотрения проект тарифного соглашения членам Комиссии;</w:t>
      </w:r>
    </w:p>
    <w:p w14:paraId="1259D21A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программе, а также в случае, если в заключении Федерального фонда сделан вывод о несоответствии тарифного соглашения базовой программе обязательного медицинского страхования, обеспечивает внесение соответствующих изменений в тарифное соглашение и повторное рассмотрение тарифного соглашения Комиссией, а также повторное направление тарифного соглашения в Федеральный фонд в установленный им срок. Устранение замечаний, указанных в заключении Федерального фонда, является обязательным.</w:t>
      </w:r>
    </w:p>
    <w:p w14:paraId="1ADDDF2D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года. О принятых решениях Комиссия информирует территориальный фонд, исполнительный орган государственной власти субъекта Российской Федерации в сфере охраны здоровья, страховые медицинские организации и медицинские организации.</w:t>
      </w:r>
    </w:p>
    <w:p w14:paraId="4CC78FDF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Персональный состав Комиссии утверждается правовым актом высшего исполнительного органа государственной власти субъекта Российской Федерации.</w:t>
      </w:r>
    </w:p>
    <w:p w14:paraId="1EE745A4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состав Комиссии вносятся не реже одного раза в три года.</w:t>
      </w:r>
    </w:p>
    <w:p w14:paraId="29676013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Председателем Комиссии является представитель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Федерации.</w:t>
      </w:r>
    </w:p>
    <w:p w14:paraId="7DDD74EB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Секретарем Комиссии является представитель территориального фонда. Секретарь Комиссии не менее чем за три рабочих дня до начала заседания Комиссии информирует членов Комиссии о дате, месте и времени проведения заседания и организует рассылку необходимых материалов. Секретарь Комиссии обеспечивает ведение делопроизводства и хранение протоколов Комиссии.</w:t>
      </w:r>
    </w:p>
    <w:p w14:paraId="33DB482B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Заседания Комиссии проводятся по мере необходимости, но не реже одного раза в месяц.</w:t>
      </w:r>
    </w:p>
    <w:p w14:paraId="7E6C6991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Решения Комиссии считаются правомочными, если в заседании принимало участие более двух третей членов Комиссии. Решение принимается простым большинством голосов от количества присутствующих на заседании членов Комиссии. В случае равенства голосов голос председателя Комиссии является решающим.</w:t>
      </w:r>
    </w:p>
    <w:p w14:paraId="201AD89D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Решения Комиссии оформляются протоколом, который подписывается председательствующим и членами Комиссии и доводится до сведения территориального фонда, страховых медицинских организаций и медицинских организаций. Решения, принимаемые Комиссией в соответствии с ее компетенцией, являются обязательными для всех участников обязательного медицинского страхования на территории субъекта Российской Федерации.</w:t>
      </w:r>
    </w:p>
    <w:p w14:paraId="40F4B91B">
      <w:pPr>
        <w:pStyle w:val="4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информационно-телекоммуникационной сети «Интернет» в течение двух рабочих дней со дня их распределения.</w:t>
      </w:r>
    </w:p>
    <w:p w14:paraId="24B0D31C">
      <w:pPr>
        <w:pStyle w:val="41"/>
        <w:jc w:val="both"/>
        <w:rPr>
          <w:rFonts w:ascii="Times New Roman" w:hAnsi="Times New Roman" w:cs="Times New Roman"/>
          <w:sz w:val="28"/>
          <w:szCs w:val="28"/>
        </w:rPr>
      </w:pPr>
    </w:p>
    <w:p w14:paraId="2952C164"/>
    <w:sectPr>
      <w:headerReference r:id="rId5" w:type="default"/>
      <w:pgSz w:w="11906" w:h="16838"/>
      <w:pgMar w:top="1134" w:right="567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DamageLo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19ADF394">
      <w:pPr>
        <w:pStyle w:val="41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"https://login.consultant.ru/link/?req=doc&amp;base=LAW&amp;n=487390"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19 марта 2021 г. № 231н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обеспечения» (зарегистрирован Министерством юстиции Российской Федерации 13 мая 2021 г., регистрационный № 63410) с изменениями, внесенными приказами Министерства здравоохранения Российской Федерации от 1 июля 2021 г.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№ 696н (зарегистрирован Министерством юстиции Российской Федерации 29 июля 2021 г., регистрационный № 64445), от 21 февраля 2022 г. № 100н (зарегистрирован Министерством юстиции Российской Федерации 28 февраля 2022 г., регистрационный № 67559).</w:t>
      </w:r>
    </w:p>
  </w:footnote>
  <w:footnote w:id="1">
    <w:p w14:paraId="7D1DA8F7">
      <w:pPr>
        <w:pStyle w:val="17"/>
        <w:rPr>
          <w:rFonts w:ascii="Times New Roman" w:hAnsi="Times New Roman"/>
        </w:rPr>
      </w:pPr>
      <w:r>
        <w:rPr>
          <w:rStyle w:val="13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часть 2 статьи 30 Федерального закона № 326-ФЗ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020504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55B3B8CA">
        <w:pPr>
          <w:pStyle w:val="18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0"/>
    <w:rsid w:val="00010945"/>
    <w:rsid w:val="000203B2"/>
    <w:rsid w:val="00091FC2"/>
    <w:rsid w:val="000A7EE2"/>
    <w:rsid w:val="000C0EA8"/>
    <w:rsid w:val="000D6432"/>
    <w:rsid w:val="000E1BE6"/>
    <w:rsid w:val="000E3F5A"/>
    <w:rsid w:val="001307F1"/>
    <w:rsid w:val="00136744"/>
    <w:rsid w:val="00140C43"/>
    <w:rsid w:val="001D3585"/>
    <w:rsid w:val="001E3819"/>
    <w:rsid w:val="00201BAC"/>
    <w:rsid w:val="00234C82"/>
    <w:rsid w:val="00236235"/>
    <w:rsid w:val="00244683"/>
    <w:rsid w:val="002556DD"/>
    <w:rsid w:val="00282372"/>
    <w:rsid w:val="0029236B"/>
    <w:rsid w:val="002B06D7"/>
    <w:rsid w:val="002B3C8A"/>
    <w:rsid w:val="002B5F1E"/>
    <w:rsid w:val="002D59E4"/>
    <w:rsid w:val="002D76BA"/>
    <w:rsid w:val="002E0DB0"/>
    <w:rsid w:val="002E2911"/>
    <w:rsid w:val="002E4CDB"/>
    <w:rsid w:val="002F20F2"/>
    <w:rsid w:val="003159E9"/>
    <w:rsid w:val="003622F3"/>
    <w:rsid w:val="003678EE"/>
    <w:rsid w:val="00383C4D"/>
    <w:rsid w:val="00391B34"/>
    <w:rsid w:val="003942C0"/>
    <w:rsid w:val="003E326B"/>
    <w:rsid w:val="003F7E1F"/>
    <w:rsid w:val="00400ED6"/>
    <w:rsid w:val="004117A0"/>
    <w:rsid w:val="00413B62"/>
    <w:rsid w:val="0041530B"/>
    <w:rsid w:val="00441A8C"/>
    <w:rsid w:val="0047226D"/>
    <w:rsid w:val="00486B60"/>
    <w:rsid w:val="00525BD1"/>
    <w:rsid w:val="00574DC6"/>
    <w:rsid w:val="005775DB"/>
    <w:rsid w:val="005872FA"/>
    <w:rsid w:val="00597D5F"/>
    <w:rsid w:val="005D6225"/>
    <w:rsid w:val="005E3BDC"/>
    <w:rsid w:val="005E6AE7"/>
    <w:rsid w:val="00634A42"/>
    <w:rsid w:val="00654B46"/>
    <w:rsid w:val="00657E9F"/>
    <w:rsid w:val="00670376"/>
    <w:rsid w:val="006F34D9"/>
    <w:rsid w:val="00703091"/>
    <w:rsid w:val="00723E54"/>
    <w:rsid w:val="00735D1E"/>
    <w:rsid w:val="00750731"/>
    <w:rsid w:val="007508EC"/>
    <w:rsid w:val="00756E9F"/>
    <w:rsid w:val="00781EBB"/>
    <w:rsid w:val="00783367"/>
    <w:rsid w:val="00786FDA"/>
    <w:rsid w:val="007905B4"/>
    <w:rsid w:val="007B62C8"/>
    <w:rsid w:val="007C4784"/>
    <w:rsid w:val="007E4BCB"/>
    <w:rsid w:val="007F4014"/>
    <w:rsid w:val="008051BC"/>
    <w:rsid w:val="0081029C"/>
    <w:rsid w:val="00811A8D"/>
    <w:rsid w:val="00831D66"/>
    <w:rsid w:val="00834712"/>
    <w:rsid w:val="008656A3"/>
    <w:rsid w:val="008705F1"/>
    <w:rsid w:val="008A5CC1"/>
    <w:rsid w:val="008B31F5"/>
    <w:rsid w:val="008E0F26"/>
    <w:rsid w:val="009106B0"/>
    <w:rsid w:val="009106EC"/>
    <w:rsid w:val="0092089A"/>
    <w:rsid w:val="00952A2E"/>
    <w:rsid w:val="009637CE"/>
    <w:rsid w:val="00986A0F"/>
    <w:rsid w:val="009933AD"/>
    <w:rsid w:val="00A854E3"/>
    <w:rsid w:val="00AA73C6"/>
    <w:rsid w:val="00AB6327"/>
    <w:rsid w:val="00AC2E2C"/>
    <w:rsid w:val="00AF7E11"/>
    <w:rsid w:val="00B37389"/>
    <w:rsid w:val="00B838A9"/>
    <w:rsid w:val="00B94D05"/>
    <w:rsid w:val="00BA1F7C"/>
    <w:rsid w:val="00C168DB"/>
    <w:rsid w:val="00C16E9C"/>
    <w:rsid w:val="00C21D30"/>
    <w:rsid w:val="00C32954"/>
    <w:rsid w:val="00C471D4"/>
    <w:rsid w:val="00C7357F"/>
    <w:rsid w:val="00C84E51"/>
    <w:rsid w:val="00C87BAE"/>
    <w:rsid w:val="00CF485E"/>
    <w:rsid w:val="00D23045"/>
    <w:rsid w:val="00D30B22"/>
    <w:rsid w:val="00D33904"/>
    <w:rsid w:val="00D473FB"/>
    <w:rsid w:val="00D73BF9"/>
    <w:rsid w:val="00DA2F85"/>
    <w:rsid w:val="00DE7148"/>
    <w:rsid w:val="00DF60B3"/>
    <w:rsid w:val="00DF61A3"/>
    <w:rsid w:val="00DF7A0F"/>
    <w:rsid w:val="00E122B0"/>
    <w:rsid w:val="00E33648"/>
    <w:rsid w:val="00E965B8"/>
    <w:rsid w:val="00EC12A7"/>
    <w:rsid w:val="00ED00B9"/>
    <w:rsid w:val="00ED601E"/>
    <w:rsid w:val="00F214FF"/>
    <w:rsid w:val="00F24D57"/>
    <w:rsid w:val="00F270B3"/>
    <w:rsid w:val="00F27198"/>
    <w:rsid w:val="00F27A73"/>
    <w:rsid w:val="00F415EF"/>
    <w:rsid w:val="00F93367"/>
    <w:rsid w:val="00FE5978"/>
    <w:rsid w:val="00FF4B86"/>
    <w:rsid w:val="00FF4BBB"/>
    <w:rsid w:val="3371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15">
    <w:name w:val="annotation text"/>
    <w:basedOn w:val="1"/>
    <w:link w:val="43"/>
    <w:unhideWhenUsed/>
    <w:uiPriority w:val="99"/>
    <w:pPr>
      <w:spacing w:after="160" w:line="240" w:lineRule="auto"/>
    </w:pPr>
    <w:rPr>
      <w:rFonts w:asciiTheme="minorHAnsi" w:hAnsiTheme="minorHAnsi" w:eastAsiaTheme="minorHAnsi" w:cstheme="minorBidi"/>
      <w:kern w:val="2"/>
      <w:sz w:val="20"/>
      <w:szCs w:val="20"/>
      <w14:ligatures w14:val="standardContextual"/>
    </w:rPr>
  </w:style>
  <w:style w:type="paragraph" w:styleId="16">
    <w:name w:val="annotation subject"/>
    <w:basedOn w:val="15"/>
    <w:next w:val="15"/>
    <w:link w:val="48"/>
    <w:semiHidden/>
    <w:unhideWhenUsed/>
    <w:uiPriority w:val="99"/>
    <w:pPr>
      <w:spacing w:after="200"/>
    </w:pPr>
    <w:rPr>
      <w:rFonts w:ascii="Calibri" w:hAnsi="Calibri" w:eastAsia="Calibri" w:cs="Times New Roman"/>
      <w:b/>
      <w:bCs/>
      <w:kern w:val="0"/>
      <w14:ligatures w14:val="none"/>
    </w:rPr>
  </w:style>
  <w:style w:type="paragraph" w:styleId="17">
    <w:name w:val="footnote text"/>
    <w:basedOn w:val="1"/>
    <w:link w:val="4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8">
    <w:name w:val="header"/>
    <w:basedOn w:val="1"/>
    <w:link w:val="4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Title"/>
    <w:basedOn w:val="1"/>
    <w:next w:val="1"/>
    <w:link w:val="32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20">
    <w:name w:val="footer"/>
    <w:basedOn w:val="1"/>
    <w:link w:val="4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2">
    <w:name w:val="Subtitle"/>
    <w:basedOn w:val="1"/>
    <w:next w:val="1"/>
    <w:link w:val="33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3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6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7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8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Заголовок Знак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Подзаголовок Знак"/>
    <w:basedOn w:val="11"/>
    <w:link w:val="2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5">
    <w:name w:val="Цитата 2 Знак"/>
    <w:basedOn w:val="11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7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9">
    <w:name w:val="Выделенная цитата Знак"/>
    <w:basedOn w:val="11"/>
    <w:link w:val="38"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1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kern w:val="2"/>
      <w:sz w:val="22"/>
      <w:szCs w:val="22"/>
      <w:lang w:val="ru-RU" w:eastAsia="ru-RU" w:bidi="ar-SA"/>
      <w14:ligatures w14:val="standardContextual"/>
    </w:rPr>
  </w:style>
  <w:style w:type="paragraph" w:customStyle="1" w:styleId="42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kern w:val="2"/>
      <w:sz w:val="22"/>
      <w:szCs w:val="22"/>
      <w:lang w:val="ru-RU" w:eastAsia="ru-RU" w:bidi="ar-SA"/>
      <w14:ligatures w14:val="standardContextual"/>
    </w:rPr>
  </w:style>
  <w:style w:type="character" w:customStyle="1" w:styleId="43">
    <w:name w:val="Текст примечания Знак"/>
    <w:basedOn w:val="11"/>
    <w:link w:val="15"/>
    <w:uiPriority w:val="99"/>
    <w:rPr>
      <w:sz w:val="20"/>
      <w:szCs w:val="20"/>
    </w:rPr>
  </w:style>
  <w:style w:type="character" w:customStyle="1" w:styleId="44">
    <w:name w:val="Верхний колонтитул Знак"/>
    <w:basedOn w:val="11"/>
    <w:link w:val="18"/>
    <w:uiPriority w:val="99"/>
    <w:rPr>
      <w:rFonts w:ascii="Calibri" w:hAnsi="Calibri" w:eastAsia="Calibri" w:cs="Times New Roman"/>
      <w:kern w:val="0"/>
      <w14:ligatures w14:val="none"/>
    </w:rPr>
  </w:style>
  <w:style w:type="character" w:customStyle="1" w:styleId="45">
    <w:name w:val="Нижний колонтитул Знак"/>
    <w:basedOn w:val="11"/>
    <w:link w:val="20"/>
    <w:uiPriority w:val="99"/>
    <w:rPr>
      <w:rFonts w:ascii="Calibri" w:hAnsi="Calibri" w:eastAsia="Calibri" w:cs="Times New Roman"/>
      <w:kern w:val="0"/>
      <w14:ligatures w14:val="none"/>
    </w:rPr>
  </w:style>
  <w:style w:type="paragraph" w:customStyle="1" w:styleId="46">
    <w:name w:val="Revision"/>
    <w:hidden/>
    <w:semiHidden/>
    <w:uiPriority w:val="99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character" w:customStyle="1" w:styleId="47">
    <w:name w:val="Текст сноски Знак"/>
    <w:basedOn w:val="11"/>
    <w:link w:val="17"/>
    <w:semiHidden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8">
    <w:name w:val="Тема примечания Знак"/>
    <w:basedOn w:val="43"/>
    <w:link w:val="16"/>
    <w:semiHidden/>
    <w:uiPriority w:val="99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A82F-098D-4CFB-ACB8-58DF4D423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FFOMS</Company>
  <Pages>10</Pages>
  <Words>3810</Words>
  <Characters>21723</Characters>
  <Lines>181</Lines>
  <Paragraphs>50</Paragraphs>
  <TotalTime>193</TotalTime>
  <ScaleCrop>false</ScaleCrop>
  <LinksUpToDate>false</LinksUpToDate>
  <CharactersWithSpaces>25483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2025-04-09T12:56:00Z</dcterms:created>
  <dc:creator>Ковалева Наталья Николаевна</dc:creator>
  <cp:lastModifiedBy>рашид незаметди�</cp:lastModifiedBy>
  <dcterms:modified xsi:type="dcterms:W3CDTF">2025-07-25T17:19:07Z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AEB5D609907740BE9B6C0410C83FDB4E_13</vt:lpwstr>
  </property>
</Properties>
</file>